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505" w:rsidRDefault="000319AC" w:rsidP="000319AC">
      <w:pPr>
        <w:jc w:val="center"/>
        <w:rPr>
          <w:b/>
          <w:sz w:val="28"/>
          <w:szCs w:val="28"/>
        </w:rPr>
      </w:pPr>
      <w:r w:rsidRPr="000319AC">
        <w:rPr>
          <w:b/>
          <w:sz w:val="28"/>
          <w:szCs w:val="28"/>
        </w:rPr>
        <w:t>Office of Civil Rights Penalty Caps for HIPAA Violations</w:t>
      </w:r>
    </w:p>
    <w:p w:rsidR="000319AC" w:rsidRPr="001471AB" w:rsidRDefault="000319AC" w:rsidP="000319AC">
      <w:pPr>
        <w:jc w:val="center"/>
        <w:rPr>
          <w:b/>
        </w:rPr>
      </w:pPr>
    </w:p>
    <w:p w:rsidR="000319AC" w:rsidRPr="001471AB" w:rsidRDefault="000319AC" w:rsidP="000319AC">
      <w:r w:rsidRPr="001471AB">
        <w:rPr>
          <w:b/>
        </w:rPr>
        <w:t xml:space="preserve">Protected Health Information (PHI):  </w:t>
      </w:r>
      <w:r w:rsidRPr="001471AB">
        <w:t>Information that can identify a patient and relates to the patient’s health condition, treatment or payment for treatment.  There are 18 elements of PHI.</w:t>
      </w:r>
    </w:p>
    <w:p w:rsidR="000319AC" w:rsidRPr="001471AB" w:rsidRDefault="000319AC" w:rsidP="000319AC">
      <w:pPr>
        <w:rPr>
          <w:b/>
        </w:rPr>
      </w:pPr>
      <w:r w:rsidRPr="001471AB">
        <w:rPr>
          <w:b/>
        </w:rPr>
        <w:t xml:space="preserve">ePHI: </w:t>
      </w:r>
      <w:r w:rsidRPr="001471AB">
        <w:t>PHI received, created, maintained or transmitted in electronic form.</w:t>
      </w:r>
    </w:p>
    <w:p w:rsidR="000319AC" w:rsidRPr="001471AB" w:rsidRDefault="000319AC">
      <w:pPr>
        <w:rPr>
          <w:sz w:val="20"/>
          <w:szCs w:val="20"/>
        </w:rPr>
      </w:pPr>
    </w:p>
    <w:tbl>
      <w:tblPr>
        <w:tblStyle w:val="GridTable6Colorful"/>
        <w:tblW w:w="0" w:type="auto"/>
        <w:tblLook w:val="04A0" w:firstRow="1" w:lastRow="0" w:firstColumn="1" w:lastColumn="0" w:noHBand="0" w:noVBand="1"/>
      </w:tblPr>
      <w:tblGrid>
        <w:gridCol w:w="2575"/>
        <w:gridCol w:w="2606"/>
        <w:gridCol w:w="2679"/>
        <w:gridCol w:w="1490"/>
      </w:tblGrid>
      <w:tr w:rsidR="000319AC" w:rsidRPr="001471AB" w:rsidTr="001C40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319AC" w:rsidRPr="001471AB" w:rsidRDefault="000319AC">
            <w:r w:rsidRPr="001471AB">
              <w:t>Culpability</w:t>
            </w:r>
          </w:p>
        </w:tc>
        <w:tc>
          <w:tcPr>
            <w:tcW w:w="0" w:type="auto"/>
          </w:tcPr>
          <w:p w:rsidR="000319AC" w:rsidRPr="001471AB" w:rsidRDefault="000319AC" w:rsidP="000319AC">
            <w:pPr>
              <w:jc w:val="center"/>
              <w:cnfStyle w:val="100000000000" w:firstRow="1" w:lastRow="0" w:firstColumn="0" w:lastColumn="0" w:oddVBand="0" w:evenVBand="0" w:oddHBand="0" w:evenHBand="0" w:firstRowFirstColumn="0" w:firstRowLastColumn="0" w:lastRowFirstColumn="0" w:lastRowLastColumn="0"/>
            </w:pPr>
            <w:r w:rsidRPr="001471AB">
              <w:t>Minimum Penalty for Violation</w:t>
            </w:r>
          </w:p>
        </w:tc>
        <w:tc>
          <w:tcPr>
            <w:tcW w:w="0" w:type="auto"/>
          </w:tcPr>
          <w:p w:rsidR="000319AC" w:rsidRPr="001471AB" w:rsidRDefault="000319AC" w:rsidP="000319AC">
            <w:pPr>
              <w:jc w:val="center"/>
              <w:cnfStyle w:val="100000000000" w:firstRow="1" w:lastRow="0" w:firstColumn="0" w:lastColumn="0" w:oddVBand="0" w:evenVBand="0" w:oddHBand="0" w:evenHBand="0" w:firstRowFirstColumn="0" w:firstRowLastColumn="0" w:lastRowFirstColumn="0" w:lastRowLastColumn="0"/>
            </w:pPr>
            <w:r w:rsidRPr="001471AB">
              <w:t>Maximum Penalty Per Violation</w:t>
            </w:r>
          </w:p>
        </w:tc>
        <w:tc>
          <w:tcPr>
            <w:tcW w:w="0" w:type="auto"/>
          </w:tcPr>
          <w:p w:rsidR="000319AC" w:rsidRPr="001471AB" w:rsidRDefault="000319AC" w:rsidP="000319AC">
            <w:pPr>
              <w:jc w:val="center"/>
              <w:cnfStyle w:val="100000000000" w:firstRow="1" w:lastRow="0" w:firstColumn="0" w:lastColumn="0" w:oddVBand="0" w:evenVBand="0" w:oddHBand="0" w:evenHBand="0" w:firstRowFirstColumn="0" w:firstRowLastColumn="0" w:lastRowFirstColumn="0" w:lastRowLastColumn="0"/>
            </w:pPr>
            <w:r w:rsidRPr="001471AB">
              <w:t>Annual Limit</w:t>
            </w:r>
          </w:p>
        </w:tc>
      </w:tr>
      <w:tr w:rsidR="000319AC" w:rsidRPr="001471AB" w:rsidTr="001C4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0319AC" w:rsidRPr="001471AB" w:rsidRDefault="000319AC">
            <w:r w:rsidRPr="001471AB">
              <w:t>No knowledge</w:t>
            </w:r>
          </w:p>
        </w:tc>
        <w:tc>
          <w:tcPr>
            <w:tcW w:w="0" w:type="auto"/>
            <w:shd w:val="clear" w:color="auto" w:fill="auto"/>
            <w:vAlign w:val="center"/>
          </w:tcPr>
          <w:p w:rsidR="000319AC" w:rsidRPr="001471AB" w:rsidRDefault="000319AC" w:rsidP="001C403D">
            <w:pPr>
              <w:jc w:val="center"/>
              <w:cnfStyle w:val="000000100000" w:firstRow="0" w:lastRow="0" w:firstColumn="0" w:lastColumn="0" w:oddVBand="0" w:evenVBand="0" w:oddHBand="1" w:evenHBand="0" w:firstRowFirstColumn="0" w:firstRowLastColumn="0" w:lastRowFirstColumn="0" w:lastRowLastColumn="0"/>
            </w:pPr>
            <w:r w:rsidRPr="001471AB">
              <w:t>$100</w:t>
            </w:r>
          </w:p>
        </w:tc>
        <w:tc>
          <w:tcPr>
            <w:tcW w:w="0" w:type="auto"/>
            <w:shd w:val="clear" w:color="auto" w:fill="auto"/>
            <w:vAlign w:val="center"/>
          </w:tcPr>
          <w:p w:rsidR="000319AC" w:rsidRPr="001471AB" w:rsidRDefault="000319AC" w:rsidP="001C403D">
            <w:pPr>
              <w:jc w:val="center"/>
              <w:cnfStyle w:val="000000100000" w:firstRow="0" w:lastRow="0" w:firstColumn="0" w:lastColumn="0" w:oddVBand="0" w:evenVBand="0" w:oddHBand="1" w:evenHBand="0" w:firstRowFirstColumn="0" w:firstRowLastColumn="0" w:lastRowFirstColumn="0" w:lastRowLastColumn="0"/>
            </w:pPr>
            <w:r w:rsidRPr="001471AB">
              <w:t>$50,000</w:t>
            </w:r>
          </w:p>
        </w:tc>
        <w:tc>
          <w:tcPr>
            <w:tcW w:w="0" w:type="auto"/>
            <w:shd w:val="clear" w:color="auto" w:fill="auto"/>
            <w:vAlign w:val="center"/>
          </w:tcPr>
          <w:p w:rsidR="000319AC" w:rsidRPr="001471AB" w:rsidRDefault="000319AC" w:rsidP="001C403D">
            <w:pPr>
              <w:jc w:val="center"/>
              <w:cnfStyle w:val="000000100000" w:firstRow="0" w:lastRow="0" w:firstColumn="0" w:lastColumn="0" w:oddVBand="0" w:evenVBand="0" w:oddHBand="1" w:evenHBand="0" w:firstRowFirstColumn="0" w:firstRowLastColumn="0" w:lastRowFirstColumn="0" w:lastRowLastColumn="0"/>
            </w:pPr>
            <w:r w:rsidRPr="001471AB">
              <w:t>$25,000</w:t>
            </w:r>
          </w:p>
        </w:tc>
      </w:tr>
      <w:tr w:rsidR="000319AC" w:rsidRPr="001471AB" w:rsidTr="001C403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0319AC" w:rsidRPr="001471AB" w:rsidRDefault="000319AC">
            <w:r w:rsidRPr="001471AB">
              <w:t>Reasonable Cause</w:t>
            </w:r>
          </w:p>
        </w:tc>
        <w:tc>
          <w:tcPr>
            <w:tcW w:w="0" w:type="auto"/>
            <w:shd w:val="clear" w:color="auto" w:fill="auto"/>
            <w:vAlign w:val="center"/>
          </w:tcPr>
          <w:p w:rsidR="000319AC" w:rsidRPr="001471AB" w:rsidRDefault="000319AC" w:rsidP="001C403D">
            <w:pPr>
              <w:tabs>
                <w:tab w:val="left" w:pos="1350"/>
              </w:tabs>
              <w:jc w:val="center"/>
              <w:cnfStyle w:val="000000000000" w:firstRow="0" w:lastRow="0" w:firstColumn="0" w:lastColumn="0" w:oddVBand="0" w:evenVBand="0" w:oddHBand="0" w:evenHBand="0" w:firstRowFirstColumn="0" w:firstRowLastColumn="0" w:lastRowFirstColumn="0" w:lastRowLastColumn="0"/>
            </w:pPr>
            <w:r w:rsidRPr="001471AB">
              <w:t>$1,000</w:t>
            </w:r>
          </w:p>
        </w:tc>
        <w:tc>
          <w:tcPr>
            <w:tcW w:w="0" w:type="auto"/>
            <w:shd w:val="clear" w:color="auto" w:fill="auto"/>
            <w:vAlign w:val="center"/>
          </w:tcPr>
          <w:p w:rsidR="000319AC" w:rsidRPr="001471AB" w:rsidRDefault="000319AC" w:rsidP="001C403D">
            <w:pPr>
              <w:jc w:val="center"/>
              <w:cnfStyle w:val="000000000000" w:firstRow="0" w:lastRow="0" w:firstColumn="0" w:lastColumn="0" w:oddVBand="0" w:evenVBand="0" w:oddHBand="0" w:evenHBand="0" w:firstRowFirstColumn="0" w:firstRowLastColumn="0" w:lastRowFirstColumn="0" w:lastRowLastColumn="0"/>
            </w:pPr>
            <w:r w:rsidRPr="001471AB">
              <w:t>$50,000</w:t>
            </w:r>
          </w:p>
        </w:tc>
        <w:tc>
          <w:tcPr>
            <w:tcW w:w="0" w:type="auto"/>
            <w:shd w:val="clear" w:color="auto" w:fill="auto"/>
            <w:vAlign w:val="center"/>
          </w:tcPr>
          <w:p w:rsidR="000319AC" w:rsidRPr="001471AB" w:rsidRDefault="000319AC" w:rsidP="001C403D">
            <w:pPr>
              <w:jc w:val="center"/>
              <w:cnfStyle w:val="000000000000" w:firstRow="0" w:lastRow="0" w:firstColumn="0" w:lastColumn="0" w:oddVBand="0" w:evenVBand="0" w:oddHBand="0" w:evenHBand="0" w:firstRowFirstColumn="0" w:firstRowLastColumn="0" w:lastRowFirstColumn="0" w:lastRowLastColumn="0"/>
            </w:pPr>
            <w:r w:rsidRPr="001471AB">
              <w:t>$100,000</w:t>
            </w:r>
          </w:p>
        </w:tc>
      </w:tr>
      <w:tr w:rsidR="000319AC" w:rsidRPr="001471AB" w:rsidTr="001C4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FF0000"/>
            </w:tcBorders>
            <w:shd w:val="clear" w:color="auto" w:fill="auto"/>
          </w:tcPr>
          <w:p w:rsidR="000319AC" w:rsidRPr="001471AB" w:rsidRDefault="000319AC">
            <w:r w:rsidRPr="001471AB">
              <w:t>Willful Neglect-Corrected</w:t>
            </w:r>
          </w:p>
        </w:tc>
        <w:tc>
          <w:tcPr>
            <w:tcW w:w="0" w:type="auto"/>
            <w:tcBorders>
              <w:bottom w:val="single" w:sz="12" w:space="0" w:color="FF0000"/>
            </w:tcBorders>
            <w:shd w:val="clear" w:color="auto" w:fill="auto"/>
            <w:vAlign w:val="center"/>
          </w:tcPr>
          <w:p w:rsidR="000319AC" w:rsidRPr="001471AB" w:rsidRDefault="000319AC" w:rsidP="001C403D">
            <w:pPr>
              <w:jc w:val="center"/>
              <w:cnfStyle w:val="000000100000" w:firstRow="0" w:lastRow="0" w:firstColumn="0" w:lastColumn="0" w:oddVBand="0" w:evenVBand="0" w:oddHBand="1" w:evenHBand="0" w:firstRowFirstColumn="0" w:firstRowLastColumn="0" w:lastRowFirstColumn="0" w:lastRowLastColumn="0"/>
            </w:pPr>
            <w:r w:rsidRPr="001471AB">
              <w:t>$10,000</w:t>
            </w:r>
          </w:p>
        </w:tc>
        <w:tc>
          <w:tcPr>
            <w:tcW w:w="0" w:type="auto"/>
            <w:tcBorders>
              <w:bottom w:val="single" w:sz="12" w:space="0" w:color="FF0000"/>
            </w:tcBorders>
            <w:shd w:val="clear" w:color="auto" w:fill="auto"/>
            <w:vAlign w:val="center"/>
          </w:tcPr>
          <w:p w:rsidR="000319AC" w:rsidRPr="001471AB" w:rsidRDefault="000319AC" w:rsidP="001C403D">
            <w:pPr>
              <w:jc w:val="center"/>
              <w:cnfStyle w:val="000000100000" w:firstRow="0" w:lastRow="0" w:firstColumn="0" w:lastColumn="0" w:oddVBand="0" w:evenVBand="0" w:oddHBand="1" w:evenHBand="0" w:firstRowFirstColumn="0" w:firstRowLastColumn="0" w:lastRowFirstColumn="0" w:lastRowLastColumn="0"/>
            </w:pPr>
            <w:r w:rsidRPr="001471AB">
              <w:t>$50,000</w:t>
            </w:r>
          </w:p>
        </w:tc>
        <w:tc>
          <w:tcPr>
            <w:tcW w:w="0" w:type="auto"/>
            <w:tcBorders>
              <w:bottom w:val="single" w:sz="12" w:space="0" w:color="FF0000"/>
            </w:tcBorders>
            <w:shd w:val="clear" w:color="auto" w:fill="auto"/>
            <w:vAlign w:val="center"/>
          </w:tcPr>
          <w:p w:rsidR="000319AC" w:rsidRPr="001471AB" w:rsidRDefault="000319AC" w:rsidP="001C403D">
            <w:pPr>
              <w:jc w:val="center"/>
              <w:cnfStyle w:val="000000100000" w:firstRow="0" w:lastRow="0" w:firstColumn="0" w:lastColumn="0" w:oddVBand="0" w:evenVBand="0" w:oddHBand="1" w:evenHBand="0" w:firstRowFirstColumn="0" w:firstRowLastColumn="0" w:lastRowFirstColumn="0" w:lastRowLastColumn="0"/>
            </w:pPr>
            <w:r w:rsidRPr="001471AB">
              <w:t>$250,000</w:t>
            </w:r>
          </w:p>
        </w:tc>
      </w:tr>
      <w:tr w:rsidR="000319AC" w:rsidRPr="001471AB" w:rsidTr="001C403D">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FF0000"/>
              <w:left w:val="single" w:sz="12" w:space="0" w:color="FF0000"/>
              <w:bottom w:val="single" w:sz="12" w:space="0" w:color="FF0000"/>
              <w:right w:val="single" w:sz="12" w:space="0" w:color="FF0000"/>
            </w:tcBorders>
          </w:tcPr>
          <w:p w:rsidR="000319AC" w:rsidRPr="001471AB" w:rsidRDefault="000319AC">
            <w:r w:rsidRPr="001471AB">
              <w:t>Willful Neglect-Not Corrected</w:t>
            </w:r>
          </w:p>
        </w:tc>
        <w:tc>
          <w:tcPr>
            <w:tcW w:w="0" w:type="auto"/>
            <w:tcBorders>
              <w:top w:val="single" w:sz="12" w:space="0" w:color="FF0000"/>
              <w:left w:val="single" w:sz="12" w:space="0" w:color="FF0000"/>
              <w:bottom w:val="single" w:sz="12" w:space="0" w:color="FF0000"/>
              <w:right w:val="single" w:sz="12" w:space="0" w:color="FF0000"/>
            </w:tcBorders>
            <w:vAlign w:val="center"/>
          </w:tcPr>
          <w:p w:rsidR="000319AC" w:rsidRPr="001471AB" w:rsidRDefault="000319AC" w:rsidP="001C403D">
            <w:pPr>
              <w:jc w:val="center"/>
              <w:cnfStyle w:val="000000000000" w:firstRow="0" w:lastRow="0" w:firstColumn="0" w:lastColumn="0" w:oddVBand="0" w:evenVBand="0" w:oddHBand="0" w:evenHBand="0" w:firstRowFirstColumn="0" w:firstRowLastColumn="0" w:lastRowFirstColumn="0" w:lastRowLastColumn="0"/>
            </w:pPr>
            <w:r w:rsidRPr="001471AB">
              <w:t>$50,000</w:t>
            </w:r>
          </w:p>
        </w:tc>
        <w:tc>
          <w:tcPr>
            <w:tcW w:w="0" w:type="auto"/>
            <w:tcBorders>
              <w:top w:val="single" w:sz="12" w:space="0" w:color="FF0000"/>
              <w:left w:val="single" w:sz="12" w:space="0" w:color="FF0000"/>
              <w:bottom w:val="single" w:sz="12" w:space="0" w:color="FF0000"/>
              <w:right w:val="single" w:sz="12" w:space="0" w:color="FF0000"/>
            </w:tcBorders>
            <w:vAlign w:val="center"/>
          </w:tcPr>
          <w:p w:rsidR="000319AC" w:rsidRPr="001471AB" w:rsidRDefault="000319AC" w:rsidP="001C403D">
            <w:pPr>
              <w:jc w:val="center"/>
              <w:cnfStyle w:val="000000000000" w:firstRow="0" w:lastRow="0" w:firstColumn="0" w:lastColumn="0" w:oddVBand="0" w:evenVBand="0" w:oddHBand="0" w:evenHBand="0" w:firstRowFirstColumn="0" w:firstRowLastColumn="0" w:lastRowFirstColumn="0" w:lastRowLastColumn="0"/>
            </w:pPr>
            <w:r w:rsidRPr="001471AB">
              <w:t>$50,000</w:t>
            </w:r>
          </w:p>
        </w:tc>
        <w:tc>
          <w:tcPr>
            <w:tcW w:w="0" w:type="auto"/>
            <w:tcBorders>
              <w:top w:val="single" w:sz="12" w:space="0" w:color="FF0000"/>
              <w:left w:val="single" w:sz="12" w:space="0" w:color="FF0000"/>
              <w:bottom w:val="single" w:sz="12" w:space="0" w:color="FF0000"/>
              <w:right w:val="single" w:sz="12" w:space="0" w:color="FF0000"/>
            </w:tcBorders>
            <w:vAlign w:val="center"/>
          </w:tcPr>
          <w:p w:rsidR="000319AC" w:rsidRPr="001471AB" w:rsidRDefault="000319AC" w:rsidP="001C403D">
            <w:pPr>
              <w:jc w:val="center"/>
              <w:cnfStyle w:val="000000000000" w:firstRow="0" w:lastRow="0" w:firstColumn="0" w:lastColumn="0" w:oddVBand="0" w:evenVBand="0" w:oddHBand="0" w:evenHBand="0" w:firstRowFirstColumn="0" w:firstRowLastColumn="0" w:lastRowFirstColumn="0" w:lastRowLastColumn="0"/>
            </w:pPr>
            <w:r w:rsidRPr="001471AB">
              <w:t>$1,500,000</w:t>
            </w:r>
          </w:p>
        </w:tc>
      </w:tr>
    </w:tbl>
    <w:p w:rsidR="000319AC" w:rsidRPr="001471AB" w:rsidRDefault="000319AC"/>
    <w:p w:rsidR="000319AC" w:rsidRPr="001471AB" w:rsidRDefault="000319AC">
      <w:pPr>
        <w:rPr>
          <w:b/>
        </w:rPr>
      </w:pPr>
      <w:r w:rsidRPr="001471AB">
        <w:rPr>
          <w:b/>
        </w:rPr>
        <w:t>For research purposes, how do we protect against HIPAA violations and maintain compliance?</w:t>
      </w:r>
    </w:p>
    <w:p w:rsidR="000319AC" w:rsidRPr="001471AB" w:rsidRDefault="000319AC" w:rsidP="000319AC">
      <w:pPr>
        <w:pStyle w:val="ListParagraph"/>
        <w:numPr>
          <w:ilvl w:val="0"/>
          <w:numId w:val="1"/>
        </w:numPr>
        <w:rPr>
          <w:b/>
        </w:rPr>
      </w:pPr>
      <w:r w:rsidRPr="001471AB">
        <w:t>All data collection should occur on Ascension St. John or Ascension St. John-associated facility premises</w:t>
      </w:r>
      <w:r w:rsidR="001C403D">
        <w:t>.</w:t>
      </w:r>
    </w:p>
    <w:p w:rsidR="000319AC" w:rsidRPr="001471AB" w:rsidRDefault="000319AC" w:rsidP="000319AC">
      <w:pPr>
        <w:pStyle w:val="ListParagraph"/>
        <w:numPr>
          <w:ilvl w:val="0"/>
          <w:numId w:val="1"/>
        </w:numPr>
        <w:rPr>
          <w:b/>
        </w:rPr>
      </w:pPr>
      <w:r w:rsidRPr="001471AB">
        <w:t>Only the study investigators listed on the “team list” or “delegation log” may h</w:t>
      </w:r>
      <w:r w:rsidR="001C403D">
        <w:t>ave access to the research data (IRB Form A-2).</w:t>
      </w:r>
    </w:p>
    <w:p w:rsidR="000319AC" w:rsidRPr="001471AB" w:rsidRDefault="000319AC" w:rsidP="000319AC">
      <w:pPr>
        <w:pStyle w:val="ListParagraph"/>
        <w:numPr>
          <w:ilvl w:val="0"/>
          <w:numId w:val="1"/>
        </w:numPr>
        <w:rPr>
          <w:b/>
        </w:rPr>
      </w:pPr>
      <w:r w:rsidRPr="001471AB">
        <w:t xml:space="preserve">Paper data collection sheets should be stored in a locked file cabinet when not in use; paper data collection sheets should </w:t>
      </w:r>
      <w:r w:rsidRPr="001C403D">
        <w:rPr>
          <w:u w:val="single"/>
        </w:rPr>
        <w:t>never be removed from the premises</w:t>
      </w:r>
      <w:r w:rsidRPr="001471AB">
        <w:t>.</w:t>
      </w:r>
    </w:p>
    <w:p w:rsidR="000319AC" w:rsidRPr="001471AB" w:rsidRDefault="000319AC" w:rsidP="001471AB">
      <w:pPr>
        <w:pStyle w:val="ListParagraph"/>
        <w:numPr>
          <w:ilvl w:val="0"/>
          <w:numId w:val="1"/>
        </w:numPr>
        <w:rPr>
          <w:b/>
        </w:rPr>
      </w:pPr>
      <w:r w:rsidRPr="001471AB">
        <w:t>All electronic data must be stored on an Ascension St. John network, password-protected, encrypted computer drive (i.e. the H: drive or the Microsoft OneDrive).</w:t>
      </w:r>
      <w:r w:rsidR="001471AB">
        <w:rPr>
          <w:b/>
        </w:rPr>
        <w:t xml:space="preserve">  </w:t>
      </w:r>
      <w:r w:rsidRPr="001471AB">
        <w:rPr>
          <w:u w:val="single"/>
        </w:rPr>
        <w:t>No patient data should ever be stored on the hard drive of a personal computer</w:t>
      </w:r>
      <w:r w:rsidR="001471AB">
        <w:rPr>
          <w:u w:val="single"/>
        </w:rPr>
        <w:t>.</w:t>
      </w:r>
      <w:r w:rsidRPr="001471AB">
        <w:rPr>
          <w:u w:val="single"/>
        </w:rPr>
        <w:t xml:space="preserve"> </w:t>
      </w:r>
    </w:p>
    <w:p w:rsidR="000319AC" w:rsidRPr="001471AB" w:rsidRDefault="000319AC" w:rsidP="000319AC">
      <w:pPr>
        <w:pStyle w:val="ListParagraph"/>
        <w:numPr>
          <w:ilvl w:val="0"/>
          <w:numId w:val="1"/>
        </w:numPr>
        <w:rPr>
          <w:b/>
        </w:rPr>
      </w:pPr>
      <w:r w:rsidRPr="001471AB">
        <w:t>If data are emailed, email encryption must be used.  Ascension employees, residents and fellows should always use their Ascension email address when emailing data.</w:t>
      </w:r>
    </w:p>
    <w:p w:rsidR="000319AC" w:rsidRPr="001471AB" w:rsidRDefault="000319AC" w:rsidP="000319AC">
      <w:pPr>
        <w:pStyle w:val="ListParagraph"/>
        <w:numPr>
          <w:ilvl w:val="0"/>
          <w:numId w:val="1"/>
        </w:numPr>
        <w:rPr>
          <w:b/>
        </w:rPr>
      </w:pPr>
      <w:r w:rsidRPr="001471AB">
        <w:t>Emails from one Ascension address to another Ascension address are encrypted.</w:t>
      </w:r>
    </w:p>
    <w:p w:rsidR="001471AB" w:rsidRDefault="000319AC" w:rsidP="000319AC">
      <w:pPr>
        <w:pStyle w:val="ListParagraph"/>
        <w:numPr>
          <w:ilvl w:val="0"/>
          <w:numId w:val="1"/>
        </w:numPr>
      </w:pPr>
      <w:r w:rsidRPr="001471AB">
        <w:t xml:space="preserve">If you need to email data to a non-Ascension email address, you must put -phi- or </w:t>
      </w:r>
      <w:r w:rsidR="001C403D">
        <w:t xml:space="preserve">            </w:t>
      </w:r>
      <w:r w:rsidRPr="001471AB">
        <w:t xml:space="preserve">-secure- in the subject line </w:t>
      </w:r>
      <w:r w:rsidR="001471AB" w:rsidRPr="001471AB">
        <w:t>to encrypt the emai</w:t>
      </w:r>
      <w:r w:rsidR="001471AB">
        <w:t>l</w:t>
      </w:r>
      <w:r w:rsidR="001471AB" w:rsidRPr="001471AB">
        <w:t>.</w:t>
      </w:r>
    </w:p>
    <w:p w:rsidR="001471AB" w:rsidRDefault="001471AB" w:rsidP="001471AB">
      <w:pPr>
        <w:jc w:val="center"/>
      </w:pPr>
      <w:r>
        <w:br w:type="page"/>
        <w:t>Elements of PHI</w:t>
      </w:r>
      <w:r w:rsidR="001C403D" w:rsidRPr="001C403D">
        <w:rPr>
          <w:vertAlign w:val="superscript"/>
        </w:rPr>
        <w:t>1</w:t>
      </w:r>
    </w:p>
    <w:p w:rsidR="000319AC" w:rsidRPr="001C403D" w:rsidRDefault="001471AB" w:rsidP="000319AC">
      <w:pPr>
        <w:pStyle w:val="ListParagraph"/>
        <w:numPr>
          <w:ilvl w:val="0"/>
          <w:numId w:val="1"/>
        </w:numPr>
      </w:pPr>
      <w:r w:rsidRPr="001C403D">
        <w:t>Names</w:t>
      </w:r>
    </w:p>
    <w:p w:rsidR="001471AB" w:rsidRPr="001C403D" w:rsidRDefault="001471AB" w:rsidP="001471AB">
      <w:pPr>
        <w:pStyle w:val="ListParagraph"/>
        <w:numPr>
          <w:ilvl w:val="0"/>
          <w:numId w:val="1"/>
        </w:numPr>
      </w:pPr>
      <w:r w:rsidRPr="001C403D">
        <w:t>All geographic divisions smaller than a state, including city, county, precinct, zip codes and their equivalent geocodes, except for the first three digits of the zip code, if according to the current publicly available data from the Bureau of the Census:</w:t>
      </w:r>
    </w:p>
    <w:p w:rsidR="001471AB" w:rsidRPr="001C403D" w:rsidRDefault="001471AB" w:rsidP="001471AB">
      <w:pPr>
        <w:pStyle w:val="ListParagraph"/>
        <w:numPr>
          <w:ilvl w:val="1"/>
          <w:numId w:val="1"/>
        </w:numPr>
      </w:pPr>
      <w:r w:rsidRPr="001C403D">
        <w:t>The geographic unit formed by containing all zip codes with the same three digits contains more than 20,000 people; and</w:t>
      </w:r>
    </w:p>
    <w:p w:rsidR="001471AB" w:rsidRPr="001C403D" w:rsidRDefault="001471AB" w:rsidP="001471AB">
      <w:pPr>
        <w:pStyle w:val="ListParagraph"/>
        <w:numPr>
          <w:ilvl w:val="1"/>
          <w:numId w:val="1"/>
        </w:numPr>
      </w:pPr>
      <w:r w:rsidRPr="001C403D">
        <w:t>The initial three digits of a zip code for all such geographic units containing 20,000 or fewer people is changed to 000.</w:t>
      </w:r>
    </w:p>
    <w:p w:rsidR="001471AB" w:rsidRPr="001C403D" w:rsidRDefault="001471AB" w:rsidP="001471AB">
      <w:pPr>
        <w:pStyle w:val="ListParagraph"/>
        <w:numPr>
          <w:ilvl w:val="0"/>
          <w:numId w:val="1"/>
        </w:numPr>
      </w:pPr>
      <w:r w:rsidRPr="001C403D">
        <w:t>All elements of dates (except year) for dates that are directly related to an individual, including birth and death date, admission date, discharge date, death date and all ages over 89 and all elements of dates (including year) indicative of such age, except that such ages and elements may be aggregated into single category of age 90 or older.</w:t>
      </w:r>
    </w:p>
    <w:p w:rsidR="001471AB" w:rsidRPr="001C403D" w:rsidRDefault="001471AB" w:rsidP="001471AB">
      <w:pPr>
        <w:pStyle w:val="ListParagraph"/>
        <w:numPr>
          <w:ilvl w:val="0"/>
          <w:numId w:val="1"/>
        </w:numPr>
      </w:pPr>
      <w:r w:rsidRPr="001C403D">
        <w:t>Telephone numbers</w:t>
      </w:r>
    </w:p>
    <w:p w:rsidR="001471AB" w:rsidRPr="001C403D" w:rsidRDefault="001471AB" w:rsidP="001471AB">
      <w:pPr>
        <w:pStyle w:val="ListParagraph"/>
        <w:numPr>
          <w:ilvl w:val="0"/>
          <w:numId w:val="1"/>
        </w:numPr>
      </w:pPr>
      <w:r w:rsidRPr="001C403D">
        <w:t>VINs and serial numbers, including license plate numbers</w:t>
      </w:r>
    </w:p>
    <w:p w:rsidR="001471AB" w:rsidRPr="001C403D" w:rsidRDefault="001471AB" w:rsidP="001471AB">
      <w:pPr>
        <w:pStyle w:val="ListParagraph"/>
        <w:numPr>
          <w:ilvl w:val="0"/>
          <w:numId w:val="1"/>
        </w:numPr>
      </w:pPr>
      <w:r w:rsidRPr="001C403D">
        <w:t>Fax numbers</w:t>
      </w:r>
    </w:p>
    <w:p w:rsidR="001471AB" w:rsidRPr="001C403D" w:rsidRDefault="001471AB" w:rsidP="001471AB">
      <w:pPr>
        <w:pStyle w:val="ListParagraph"/>
        <w:numPr>
          <w:ilvl w:val="0"/>
          <w:numId w:val="1"/>
        </w:numPr>
      </w:pPr>
      <w:r w:rsidRPr="001C403D">
        <w:t>Device identifiers and serial numbers</w:t>
      </w:r>
    </w:p>
    <w:p w:rsidR="001471AB" w:rsidRPr="001C403D" w:rsidRDefault="001471AB" w:rsidP="001471AB">
      <w:pPr>
        <w:pStyle w:val="ListParagraph"/>
        <w:numPr>
          <w:ilvl w:val="0"/>
          <w:numId w:val="1"/>
        </w:numPr>
      </w:pPr>
      <w:r w:rsidRPr="001C403D">
        <w:t>Email addresses</w:t>
      </w:r>
    </w:p>
    <w:p w:rsidR="001471AB" w:rsidRPr="001C403D" w:rsidRDefault="001471AB" w:rsidP="001471AB">
      <w:pPr>
        <w:pStyle w:val="ListParagraph"/>
        <w:numPr>
          <w:ilvl w:val="0"/>
          <w:numId w:val="1"/>
        </w:numPr>
      </w:pPr>
      <w:r w:rsidRPr="001C403D">
        <w:t>URLs</w:t>
      </w:r>
    </w:p>
    <w:p w:rsidR="001471AB" w:rsidRPr="001C403D" w:rsidRDefault="001471AB" w:rsidP="001471AB">
      <w:pPr>
        <w:pStyle w:val="ListParagraph"/>
        <w:numPr>
          <w:ilvl w:val="0"/>
          <w:numId w:val="1"/>
        </w:numPr>
      </w:pPr>
      <w:r w:rsidRPr="001C403D">
        <w:t>Social security numbers</w:t>
      </w:r>
    </w:p>
    <w:p w:rsidR="001471AB" w:rsidRPr="001C403D" w:rsidRDefault="001471AB" w:rsidP="001471AB">
      <w:pPr>
        <w:pStyle w:val="ListParagraph"/>
        <w:numPr>
          <w:ilvl w:val="0"/>
          <w:numId w:val="1"/>
        </w:numPr>
      </w:pPr>
      <w:r w:rsidRPr="001C403D">
        <w:t>IP addresses</w:t>
      </w:r>
    </w:p>
    <w:p w:rsidR="001471AB" w:rsidRPr="001C403D" w:rsidRDefault="001471AB" w:rsidP="001471AB">
      <w:pPr>
        <w:pStyle w:val="ListParagraph"/>
        <w:numPr>
          <w:ilvl w:val="0"/>
          <w:numId w:val="1"/>
        </w:numPr>
      </w:pPr>
      <w:r w:rsidRPr="001C403D">
        <w:t>Medical record numbers</w:t>
      </w:r>
    </w:p>
    <w:p w:rsidR="001471AB" w:rsidRPr="001C403D" w:rsidRDefault="001471AB" w:rsidP="001471AB">
      <w:pPr>
        <w:pStyle w:val="ListParagraph"/>
        <w:numPr>
          <w:ilvl w:val="0"/>
          <w:numId w:val="1"/>
        </w:numPr>
      </w:pPr>
      <w:r w:rsidRPr="001C403D">
        <w:t>Biometric identifiers, including finger and voice prints</w:t>
      </w:r>
    </w:p>
    <w:p w:rsidR="001471AB" w:rsidRPr="001C403D" w:rsidRDefault="001471AB" w:rsidP="001471AB">
      <w:pPr>
        <w:pStyle w:val="ListParagraph"/>
        <w:numPr>
          <w:ilvl w:val="0"/>
          <w:numId w:val="1"/>
        </w:numPr>
      </w:pPr>
      <w:r w:rsidRPr="001C403D">
        <w:t>Health plan beneficiary numbers</w:t>
      </w:r>
    </w:p>
    <w:p w:rsidR="001471AB" w:rsidRPr="001C403D" w:rsidRDefault="001471AB" w:rsidP="001471AB">
      <w:pPr>
        <w:pStyle w:val="ListParagraph"/>
        <w:numPr>
          <w:ilvl w:val="0"/>
          <w:numId w:val="1"/>
        </w:numPr>
      </w:pPr>
      <w:r w:rsidRPr="001C403D">
        <w:t>Full-face photographs and any comparable images</w:t>
      </w:r>
    </w:p>
    <w:p w:rsidR="001471AB" w:rsidRPr="001C403D" w:rsidRDefault="001471AB" w:rsidP="001471AB">
      <w:pPr>
        <w:pStyle w:val="ListParagraph"/>
        <w:numPr>
          <w:ilvl w:val="0"/>
          <w:numId w:val="1"/>
        </w:numPr>
      </w:pPr>
      <w:r w:rsidRPr="001C403D">
        <w:t>Account numbers (i.e. FINs)</w:t>
      </w:r>
    </w:p>
    <w:p w:rsidR="001471AB" w:rsidRPr="001C403D" w:rsidRDefault="001471AB" w:rsidP="001471AB">
      <w:pPr>
        <w:pStyle w:val="ListParagraph"/>
        <w:numPr>
          <w:ilvl w:val="0"/>
          <w:numId w:val="1"/>
        </w:numPr>
      </w:pPr>
      <w:r w:rsidRPr="001C403D">
        <w:t>Any other unique identifying number, characteristic or code</w:t>
      </w:r>
    </w:p>
    <w:p w:rsidR="001C403D" w:rsidRPr="001C403D" w:rsidRDefault="001C403D" w:rsidP="001471AB">
      <w:pPr>
        <w:pStyle w:val="ListParagraph"/>
        <w:numPr>
          <w:ilvl w:val="0"/>
          <w:numId w:val="1"/>
        </w:numPr>
      </w:pPr>
      <w:r w:rsidRPr="001C403D">
        <w:t>Certificate/license numbers</w:t>
      </w:r>
    </w:p>
    <w:p w:rsidR="001C403D" w:rsidRDefault="001C403D" w:rsidP="001C403D">
      <w:pPr>
        <w:pStyle w:val="ListParagraph"/>
        <w:rPr>
          <w:b/>
        </w:rPr>
      </w:pPr>
    </w:p>
    <w:p w:rsidR="001C403D" w:rsidRPr="001C403D" w:rsidRDefault="001C403D" w:rsidP="001C403D">
      <w:pPr>
        <w:pStyle w:val="ListParagraph"/>
        <w:rPr>
          <w:b/>
          <w:sz w:val="20"/>
          <w:szCs w:val="20"/>
        </w:rPr>
      </w:pPr>
      <w:r w:rsidRPr="001C403D">
        <w:rPr>
          <w:sz w:val="20"/>
          <w:szCs w:val="20"/>
          <w:vertAlign w:val="superscript"/>
        </w:rPr>
        <w:t>1</w:t>
      </w:r>
      <w:hyperlink r:id="rId7" w:anchor="protected" w:history="1">
        <w:r w:rsidRPr="001C403D">
          <w:rPr>
            <w:rStyle w:val="Hyperlink"/>
            <w:sz w:val="20"/>
            <w:szCs w:val="20"/>
          </w:rPr>
          <w:t>https://www.hhs.gov/hipaa/for-professionals/privacy/special-topics/de-identification/index.html#protected</w:t>
        </w:r>
      </w:hyperlink>
    </w:p>
    <w:sectPr w:rsidR="001C403D" w:rsidRPr="001C403D" w:rsidSect="001C40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559" w:rsidRDefault="00814559" w:rsidP="001C403D">
      <w:pPr>
        <w:spacing w:line="240" w:lineRule="auto"/>
      </w:pPr>
      <w:r>
        <w:separator/>
      </w:r>
    </w:p>
  </w:endnote>
  <w:endnote w:type="continuationSeparator" w:id="0">
    <w:p w:rsidR="00814559" w:rsidRDefault="00814559" w:rsidP="001C4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472942"/>
      <w:docPartObj>
        <w:docPartGallery w:val="Page Numbers (Bottom of Page)"/>
        <w:docPartUnique/>
      </w:docPartObj>
    </w:sdtPr>
    <w:sdtEndPr>
      <w:rPr>
        <w:noProof/>
      </w:rPr>
    </w:sdtEndPr>
    <w:sdtContent>
      <w:p w:rsidR="001C403D" w:rsidRDefault="001C40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C403D" w:rsidRDefault="001C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559" w:rsidRDefault="00814559" w:rsidP="001C403D">
      <w:pPr>
        <w:spacing w:line="240" w:lineRule="auto"/>
      </w:pPr>
      <w:r>
        <w:separator/>
      </w:r>
    </w:p>
  </w:footnote>
  <w:footnote w:type="continuationSeparator" w:id="0">
    <w:p w:rsidR="00814559" w:rsidRDefault="00814559" w:rsidP="001C40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C512A"/>
    <w:multiLevelType w:val="hybridMultilevel"/>
    <w:tmpl w:val="0C16FDE4"/>
    <w:lvl w:ilvl="0" w:tplc="86B435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C"/>
    <w:rsid w:val="000319AC"/>
    <w:rsid w:val="001471AB"/>
    <w:rsid w:val="001C403D"/>
    <w:rsid w:val="001F5259"/>
    <w:rsid w:val="00814559"/>
    <w:rsid w:val="00C9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788A"/>
  <w15:chartTrackingRefBased/>
  <w15:docId w15:val="{5B825508-D92C-4E4E-8663-B773A481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9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319AC"/>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
    <w:name w:val="Grid Table 6 Colorful"/>
    <w:basedOn w:val="TableNormal"/>
    <w:uiPriority w:val="51"/>
    <w:rsid w:val="000319A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0319AC"/>
    <w:pPr>
      <w:ind w:left="720"/>
      <w:contextualSpacing/>
    </w:pPr>
  </w:style>
  <w:style w:type="paragraph" w:styleId="Header">
    <w:name w:val="header"/>
    <w:basedOn w:val="Normal"/>
    <w:link w:val="HeaderChar"/>
    <w:uiPriority w:val="99"/>
    <w:unhideWhenUsed/>
    <w:rsid w:val="001C403D"/>
    <w:pPr>
      <w:tabs>
        <w:tab w:val="center" w:pos="4680"/>
        <w:tab w:val="right" w:pos="9360"/>
      </w:tabs>
      <w:spacing w:line="240" w:lineRule="auto"/>
    </w:pPr>
  </w:style>
  <w:style w:type="character" w:customStyle="1" w:styleId="HeaderChar">
    <w:name w:val="Header Char"/>
    <w:basedOn w:val="DefaultParagraphFont"/>
    <w:link w:val="Header"/>
    <w:uiPriority w:val="99"/>
    <w:rsid w:val="001C403D"/>
  </w:style>
  <w:style w:type="paragraph" w:styleId="Footer">
    <w:name w:val="footer"/>
    <w:basedOn w:val="Normal"/>
    <w:link w:val="FooterChar"/>
    <w:uiPriority w:val="99"/>
    <w:unhideWhenUsed/>
    <w:rsid w:val="001C403D"/>
    <w:pPr>
      <w:tabs>
        <w:tab w:val="center" w:pos="4680"/>
        <w:tab w:val="right" w:pos="9360"/>
      </w:tabs>
      <w:spacing w:line="240" w:lineRule="auto"/>
    </w:pPr>
  </w:style>
  <w:style w:type="character" w:customStyle="1" w:styleId="FooterChar">
    <w:name w:val="Footer Char"/>
    <w:basedOn w:val="DefaultParagraphFont"/>
    <w:link w:val="Footer"/>
    <w:uiPriority w:val="99"/>
    <w:rsid w:val="001C403D"/>
  </w:style>
  <w:style w:type="character" w:styleId="Hyperlink">
    <w:name w:val="Hyperlink"/>
    <w:basedOn w:val="DefaultParagraphFont"/>
    <w:uiPriority w:val="99"/>
    <w:semiHidden/>
    <w:unhideWhenUsed/>
    <w:rsid w:val="001C403D"/>
    <w:rPr>
      <w:color w:val="0000FF"/>
      <w:u w:val="single"/>
    </w:rPr>
  </w:style>
  <w:style w:type="paragraph" w:styleId="BalloonText">
    <w:name w:val="Balloon Text"/>
    <w:basedOn w:val="Normal"/>
    <w:link w:val="BalloonTextChar"/>
    <w:uiPriority w:val="99"/>
    <w:semiHidden/>
    <w:unhideWhenUsed/>
    <w:rsid w:val="001F52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hs.gov/hipaa/for-professionals/privacy/special-topics/de-identificatio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Szpunar, Susan</dc:creator>
  <cp:keywords/>
  <dc:description/>
  <cp:lastModifiedBy>Szpunar, Susan</cp:lastModifiedBy>
  <cp:revision>2</cp:revision>
  <cp:lastPrinted>2019-09-04T13:13:00Z</cp:lastPrinted>
  <dcterms:created xsi:type="dcterms:W3CDTF">2019-09-04T12:43:00Z</dcterms:created>
  <dcterms:modified xsi:type="dcterms:W3CDTF">2019-09-04T13:15:00Z</dcterms:modified>
</cp:coreProperties>
</file>